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CAEECC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#99</w:t>
      </w:r>
      <w:r w:rsidR="000D448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96AE2">
        <w:rPr>
          <w:szCs w:val="24"/>
        </w:rPr>
        <w:t>2259</w:t>
      </w:r>
    </w:p>
    <w:p w14:paraId="3BA3F9D6" w14:textId="77777777" w:rsidR="000D4488" w:rsidRDefault="000D4488" w:rsidP="000D44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 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C3AE50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80DBC">
        <w:rPr>
          <w:sz w:val="22"/>
          <w:szCs w:val="22"/>
          <w:lang w:val="en-US"/>
        </w:rPr>
        <w:t>31.3.1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AE8E4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F7A8A">
        <w:rPr>
          <w:sz w:val="22"/>
          <w:szCs w:val="22"/>
        </w:rPr>
        <w:t>RRC container over F1AP</w:t>
      </w:r>
    </w:p>
    <w:p w14:paraId="7E783B99" w14:textId="181E050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80DBC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577EC23" w14:textId="355C5B88" w:rsidR="00EA742F" w:rsidRDefault="00EA742F" w:rsidP="00EA742F">
      <w:r>
        <w:t xml:space="preserve">At the last RAN3 meeting, </w:t>
      </w:r>
      <w:r w:rsidR="00DD2650">
        <w:t>it was discussed whether the gNB-CU should always read the RRC containers generated by the gNB-DU (e.g., CellGroupConfig). There was no conclusion and the following sentence was captured in the Chairman notes:</w:t>
      </w:r>
    </w:p>
    <w:p w14:paraId="2FA0D647" w14:textId="39F59EC7" w:rsidR="00DD2650" w:rsidRPr="00DD2650" w:rsidRDefault="00DD2650" w:rsidP="00DD2650">
      <w:pPr>
        <w:pStyle w:val="ListParagraph"/>
        <w:numPr>
          <w:ilvl w:val="0"/>
          <w:numId w:val="21"/>
        </w:numPr>
        <w:rPr>
          <w:sz w:val="22"/>
        </w:rPr>
      </w:pPr>
      <w:r w:rsidRPr="00DD2650">
        <w:rPr>
          <w:szCs w:val="24"/>
        </w:rPr>
        <w:t>Should CU always read RRC container signalled by DU over F1? To be continued…</w:t>
      </w:r>
    </w:p>
    <w:p w14:paraId="1ED8F92F" w14:textId="77702F4B" w:rsidR="00DD2650" w:rsidRPr="00DD2650" w:rsidRDefault="00DD2650" w:rsidP="00DD2650">
      <w:r w:rsidRPr="00DD2650">
        <w:t xml:space="preserve">In this </w:t>
      </w:r>
      <w:r>
        <w:t xml:space="preserve">contribution, we elaborate more on this issue.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9AC0FBB" w14:textId="0F82757C" w:rsidR="00EC583B" w:rsidRDefault="00DD2650" w:rsidP="00BE3A64">
      <w:r>
        <w:t>The gNB-DU and the gNB-CU are together responsible for generating the RRC configuration for the UE</w:t>
      </w:r>
      <w:r w:rsidR="008D1D7E">
        <w:t>.</w:t>
      </w:r>
      <w:r>
        <w:t xml:space="preserve"> The gNB-CU generates the higher-layer configuration (e.g., RB-config) and the gNB-DU generates the lower-layer configuration (e.g., CellGroupConfig). The procedure for generating the RRC configuration for the UE in EN-DC is shown in Figure 1.</w:t>
      </w:r>
    </w:p>
    <w:p w14:paraId="7FC47F34" w14:textId="0CCE1055" w:rsidR="00DD2650" w:rsidRDefault="00DD2650" w:rsidP="00DD2650">
      <w:pPr>
        <w:jc w:val="center"/>
      </w:pPr>
      <w:r>
        <w:object w:dxaOrig="9240" w:dyaOrig="3751" w14:anchorId="587E4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83.75pt" o:ole="">
            <v:imagedata r:id="rId13" o:title=""/>
          </v:shape>
          <o:OLEObject Type="Embed" ProgID="Visio.Drawing.15" ShapeID="_x0000_i1025" DrawAspect="Content" ObjectID="_1584570496" r:id="rId14"/>
        </w:object>
      </w:r>
    </w:p>
    <w:p w14:paraId="04821DFF" w14:textId="1092CC6E" w:rsidR="00DD2650" w:rsidRPr="00495B91" w:rsidRDefault="00495B91" w:rsidP="00495B91">
      <w:pPr>
        <w:spacing w:after="240"/>
        <w:jc w:val="center"/>
        <w:rPr>
          <w:b/>
        </w:rPr>
      </w:pPr>
      <w:r w:rsidRPr="00495B91">
        <w:rPr>
          <w:b/>
        </w:rPr>
        <w:t xml:space="preserve">Figure 1: </w:t>
      </w:r>
      <w:r>
        <w:rPr>
          <w:b/>
        </w:rPr>
        <w:t xml:space="preserve">Procedure for </w:t>
      </w:r>
      <w:r w:rsidRPr="00495B91">
        <w:rPr>
          <w:b/>
        </w:rPr>
        <w:t>UE configuration in EN-DC.</w:t>
      </w:r>
    </w:p>
    <w:p w14:paraId="1C9A2837" w14:textId="5F2152B2" w:rsidR="00ED616C" w:rsidRDefault="00ED616C" w:rsidP="00DD2650">
      <w:r>
        <w:t>It can be observed that i</w:t>
      </w:r>
      <w:r w:rsidR="00495B91">
        <w:t xml:space="preserve">n step 4 the gNB-CU merges the higher-layer configuration (generated locally) and the lower-layer configuration (generated by the gNB-DU) to create the NR RRC-Reconfiguration message. Then, the gNB-CU includes the NR RRC-Reconfiguration message in </w:t>
      </w:r>
      <w:r>
        <w:t xml:space="preserve">the </w:t>
      </w:r>
      <w:r w:rsidR="00495B91">
        <w:t>CG-Config</w:t>
      </w:r>
      <w:r>
        <w:t xml:space="preserve"> container.</w:t>
      </w:r>
      <w:r w:rsidR="00F54072">
        <w:t xml:space="preserve"> </w:t>
      </w:r>
      <w:r>
        <w:t xml:space="preserve">The question is then whether: </w:t>
      </w:r>
    </w:p>
    <w:p w14:paraId="3E0A331E" w14:textId="6653E403" w:rsidR="00ED616C" w:rsidRDefault="00ED616C" w:rsidP="00ED616C">
      <w:pPr>
        <w:pStyle w:val="ListParagraph"/>
        <w:numPr>
          <w:ilvl w:val="0"/>
          <w:numId w:val="23"/>
        </w:numPr>
        <w:ind w:left="731" w:hanging="374"/>
        <w:contextualSpacing w:val="0"/>
      </w:pPr>
      <w:r>
        <w:t>The gNB-CU always needs to read the content of CellGroupConfig to generate the NR RRC-Reconfiguration message; OR</w:t>
      </w:r>
    </w:p>
    <w:p w14:paraId="237D6FC8" w14:textId="28E91623" w:rsidR="00F54072" w:rsidRDefault="00ED616C" w:rsidP="00ED616C">
      <w:pPr>
        <w:pStyle w:val="ListParagraph"/>
        <w:numPr>
          <w:ilvl w:val="0"/>
          <w:numId w:val="23"/>
        </w:numPr>
      </w:pPr>
      <w:r>
        <w:t>The gNB-CU can simply include the container received by the gNB-DU over F1 in step 3</w:t>
      </w:r>
      <w:r w:rsidR="00B87FBD">
        <w:t xml:space="preserve"> (i.e., without reading its content)</w:t>
      </w:r>
      <w:r>
        <w:t>.</w:t>
      </w:r>
    </w:p>
    <w:p w14:paraId="65403DD1" w14:textId="4D53E842" w:rsidR="002D71B6" w:rsidRDefault="002D71B6" w:rsidP="00DD2650">
      <w:r>
        <w:lastRenderedPageBreak/>
        <w:t xml:space="preserve">The gNB-CU can benefit from reading the content of CellGroupConfig. For example, the gNB-CU can learn the amount of UE capabilities that the gNB-DU is utilizing and, based on this information, can request more/less UE capabilities to the MeNB. This coordination between MeNB, gNB-CU and gNB-DU may lead to a more optimal configuration for the UE and higher performance. </w:t>
      </w:r>
    </w:p>
    <w:p w14:paraId="5A51AF8D" w14:textId="30AC50A5" w:rsidR="002D71B6" w:rsidRDefault="002D71B6" w:rsidP="002D71B6">
      <w:pPr>
        <w:pStyle w:val="TOC1"/>
        <w:spacing w:after="24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By reading the content of the CellGroupConfig container, the gNB-CU can optimize the UE configuration. </w:t>
      </w:r>
    </w:p>
    <w:p w14:paraId="31C112C1" w14:textId="0DC0D8F6" w:rsidR="002D71B6" w:rsidRDefault="002D71B6" w:rsidP="00DD2650">
      <w:r>
        <w:t>On the other hand,</w:t>
      </w:r>
      <w:r w:rsidR="00D34833">
        <w:t xml:space="preserve"> </w:t>
      </w:r>
      <w:r>
        <w:t>there may be gNB-CU implementations</w:t>
      </w:r>
      <w:r w:rsidR="0051190D">
        <w:t xml:space="preserve"> that</w:t>
      </w:r>
      <w:r>
        <w:t xml:space="preserve"> </w:t>
      </w:r>
      <w:r w:rsidR="00E672CA">
        <w:t xml:space="preserve">for simplicity </w:t>
      </w:r>
      <w:r>
        <w:t>don’t read the content of the CellGroupConfig container</w:t>
      </w:r>
      <w:r w:rsidR="0051190D">
        <w:t xml:space="preserve"> in step 4</w:t>
      </w:r>
      <w:r>
        <w:t xml:space="preserve">. </w:t>
      </w:r>
      <w:r w:rsidR="00D34833">
        <w:t xml:space="preserve">This </w:t>
      </w:r>
      <w:r w:rsidR="00E672CA">
        <w:t>may reduce the complexity and the cost of the gNB-CU</w:t>
      </w:r>
      <w:r w:rsidR="00004329">
        <w:t xml:space="preserve">, which may be crucial in some network deployments (such as small cells). </w:t>
      </w:r>
      <w:r w:rsidR="00D34833">
        <w:t xml:space="preserve">Also, the fact that the gNB-CU does not need to read and process the content of CellGroupConfig </w:t>
      </w:r>
      <w:r>
        <w:t xml:space="preserve">may make the overall procedure for configuring the UE faster, even if </w:t>
      </w:r>
      <w:r w:rsidR="00D34833">
        <w:t xml:space="preserve">probably less optimized. </w:t>
      </w:r>
    </w:p>
    <w:p w14:paraId="2AAFCA16" w14:textId="6464F63C" w:rsidR="00D34833" w:rsidRDefault="00D34833" w:rsidP="0051190D">
      <w:pPr>
        <w:pStyle w:val="TOC1"/>
        <w:spacing w:after="24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D200CF">
        <w:rPr>
          <w:noProof w:val="0"/>
          <w:lang w:val="en-GB"/>
        </w:rPr>
        <w:t xml:space="preserve">A </w:t>
      </w:r>
      <w:r w:rsidR="0051190D">
        <w:rPr>
          <w:noProof w:val="0"/>
          <w:lang w:val="en-GB"/>
        </w:rPr>
        <w:t>gNB-CU implementation</w:t>
      </w:r>
      <w:r w:rsidR="00D200CF">
        <w:rPr>
          <w:noProof w:val="0"/>
          <w:lang w:val="en-GB"/>
        </w:rPr>
        <w:t xml:space="preserve"> that</w:t>
      </w:r>
      <w:r w:rsidR="0051190D">
        <w:rPr>
          <w:noProof w:val="0"/>
          <w:lang w:val="en-GB"/>
        </w:rPr>
        <w:t xml:space="preserve"> does not read the content of the CellGroupConfig container</w:t>
      </w:r>
      <w:r w:rsidR="00D200CF">
        <w:rPr>
          <w:noProof w:val="0"/>
          <w:lang w:val="en-GB"/>
        </w:rPr>
        <w:t xml:space="preserve"> may be simpler and faster in generating the UE configuration. </w:t>
      </w:r>
    </w:p>
    <w:p w14:paraId="564BE118" w14:textId="7CF93931" w:rsidR="00F54072" w:rsidRDefault="0051190D" w:rsidP="00DD2650">
      <w:r>
        <w:t>It should be also noted that b</w:t>
      </w:r>
      <w:r w:rsidR="00ED616C">
        <w:t>ased on the</w:t>
      </w:r>
      <w:r w:rsidR="00B87FBD">
        <w:t xml:space="preserve"> </w:t>
      </w:r>
      <w:r w:rsidR="006C75FC">
        <w:t>discussions</w:t>
      </w:r>
      <w:r w:rsidR="00B87FBD">
        <w:t xml:space="preserve"> in </w:t>
      </w:r>
      <w:r w:rsidR="00B87FBD" w:rsidRPr="00B87FBD">
        <w:t>R2-1803435</w:t>
      </w:r>
      <w:r w:rsidR="006C75FC">
        <w:t xml:space="preserve"> [1] and R2-1804043 [2]</w:t>
      </w:r>
      <w:r w:rsidR="00B87FBD">
        <w:t xml:space="preserve"> </w:t>
      </w:r>
      <w:r w:rsidR="006C75FC">
        <w:t xml:space="preserve">at </w:t>
      </w:r>
      <w:r w:rsidR="00ED616C">
        <w:t>the last RAN2 meeting the following was agreed:</w:t>
      </w:r>
    </w:p>
    <w:p w14:paraId="7C7099EE" w14:textId="77777777" w:rsidR="00B87FBD" w:rsidRDefault="00B87FBD" w:rsidP="00B87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6CE4849" w14:textId="77777777" w:rsidR="00B87FBD" w:rsidRDefault="00B87FBD" w:rsidP="00B87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Create NR UECapabilityInformation – message in NR RRC for conveying NR and MR-DC capabilities.</w:t>
      </w:r>
    </w:p>
    <w:p w14:paraId="32B7BFB5" w14:textId="7E998D21" w:rsidR="00B87FBD" w:rsidRDefault="00B87FBD" w:rsidP="00B87F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 xml:space="preserve">For SCG case, CellGroupConfig </w:t>
      </w:r>
      <w:r w:rsidRPr="00B87FBD">
        <w:rPr>
          <w:highlight w:val="yellow"/>
        </w:rPr>
        <w:t xml:space="preserve">is contained in </w:t>
      </w:r>
      <w:bookmarkStart w:id="0" w:name="_Hlk510384687"/>
      <w:r w:rsidRPr="00B87FBD">
        <w:rPr>
          <w:highlight w:val="yellow"/>
        </w:rPr>
        <w:t>an octet string within RRC reconfiguration</w:t>
      </w:r>
      <w:bookmarkEnd w:id="0"/>
      <w:r>
        <w:t>.</w:t>
      </w:r>
    </w:p>
    <w:p w14:paraId="4E425C84" w14:textId="77777777" w:rsidR="00B87FBD" w:rsidRDefault="00B87FBD" w:rsidP="00B87FBD">
      <w:pPr>
        <w:pStyle w:val="Doc-text2"/>
      </w:pPr>
    </w:p>
    <w:p w14:paraId="0BEAD20A" w14:textId="33AE4C96" w:rsidR="002B657E" w:rsidRDefault="006C75FC" w:rsidP="00DD2650">
      <w:r>
        <w:t>RAN2 agreed</w:t>
      </w:r>
      <w:r w:rsidR="00B87FBD">
        <w:t xml:space="preserve"> that the CellGroupConfig in the NR RRC-Reconfiguration message is encoded as an </w:t>
      </w:r>
      <w:r w:rsidR="002B657E">
        <w:t>o</w:t>
      </w:r>
      <w:r w:rsidR="00B87FBD">
        <w:t>ctet</w:t>
      </w:r>
      <w:r w:rsidR="002B657E">
        <w:t>-s</w:t>
      </w:r>
      <w:r w:rsidR="00B87FBD">
        <w:t xml:space="preserve">tring, </w:t>
      </w:r>
      <w:r>
        <w:t xml:space="preserve">meaning that it utilizes the same encoding as </w:t>
      </w:r>
      <w:r w:rsidR="00B87FBD">
        <w:t xml:space="preserve">over F1AP. </w:t>
      </w:r>
      <w:r>
        <w:t>As</w:t>
      </w:r>
      <w:r w:rsidR="00AE1EB9">
        <w:t xml:space="preserve"> explained in R2-1803435, the </w:t>
      </w:r>
      <w:r w:rsidR="00B87FBD">
        <w:t xml:space="preserve">reason for this change is </w:t>
      </w:r>
      <w:r w:rsidR="00AE1EB9">
        <w:t>that the gNB-CU may not be able to interpret the content of CellGroupConfig</w:t>
      </w:r>
      <w:r w:rsidR="002B657E">
        <w:t xml:space="preserve">. By using an octet-string, the gNB-CU can simply include the CellGroupConfig container received over F1AP into the NR RRC-Reconfiguration message, without the need for decoding/re-encoding.   </w:t>
      </w:r>
    </w:p>
    <w:p w14:paraId="3CBE5986" w14:textId="2ADB0CF2" w:rsidR="000A6CAC" w:rsidRDefault="00706F12" w:rsidP="000A6CAC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RAN2 agreed to wrap </w:t>
      </w:r>
      <w:r>
        <w:t xml:space="preserve">CellGroupConfig in </w:t>
      </w:r>
      <w:r w:rsidRPr="00706F12">
        <w:t xml:space="preserve">an octet string within </w:t>
      </w:r>
      <w:r w:rsidR="000A6CAC">
        <w:t xml:space="preserve">the </w:t>
      </w:r>
      <w:r w:rsidRPr="00706F12">
        <w:t xml:space="preserve">RRC </w:t>
      </w:r>
      <w:r>
        <w:t>R</w:t>
      </w:r>
      <w:r w:rsidRPr="00706F12">
        <w:t>econfiguration</w:t>
      </w:r>
      <w:r>
        <w:t xml:space="preserve"> message. This implies that </w:t>
      </w:r>
      <w:r w:rsidR="000A6CAC">
        <w:t xml:space="preserve">the gNB-CU can include the CellGroupConfig container received over F1AP into the NR RRC-Reconfiguration message, without the need for decoding/re-encoding.  </w:t>
      </w:r>
    </w:p>
    <w:p w14:paraId="7F2B4885" w14:textId="3FF5AD0D" w:rsidR="000A6CAC" w:rsidRDefault="000A6CAC" w:rsidP="000A6CA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0A6CAC">
        <w:rPr>
          <w:noProof w:val="0"/>
          <w:lang w:val="en-GB"/>
        </w:rPr>
        <w:t xml:space="preserve">Therefore, RAN2 already prepared the RRC signalling to consider the case that the gNB-CU does not </w:t>
      </w:r>
      <w:r w:rsidR="00C84ED4">
        <w:rPr>
          <w:noProof w:val="0"/>
          <w:lang w:val="en-GB"/>
        </w:rPr>
        <w:t>r</w:t>
      </w:r>
      <w:r w:rsidRPr="000A6CAC">
        <w:rPr>
          <w:noProof w:val="0"/>
          <w:lang w:val="en-GB"/>
        </w:rPr>
        <w:t>ead the CellGroupConfig container</w:t>
      </w:r>
      <w:r w:rsidR="00BB660F">
        <w:rPr>
          <w:noProof w:val="0"/>
          <w:lang w:val="en-GB"/>
        </w:rPr>
        <w:t xml:space="preserve"> from the gNB-DU</w:t>
      </w:r>
      <w:r w:rsidRPr="000A6CAC">
        <w:rPr>
          <w:noProof w:val="0"/>
          <w:lang w:val="en-GB"/>
        </w:rPr>
        <w:t>.</w:t>
      </w:r>
    </w:p>
    <w:p w14:paraId="551A6D16" w14:textId="034DC350" w:rsidR="000A6CAC" w:rsidRDefault="000A6CAC" w:rsidP="000A6CAC">
      <w:pPr>
        <w:pStyle w:val="TOC1"/>
        <w:spacing w:after="120"/>
        <w:ind w:left="0" w:firstLine="0"/>
        <w:jc w:val="both"/>
        <w:rPr>
          <w:b w:val="0"/>
        </w:rPr>
      </w:pPr>
      <w:r>
        <w:rPr>
          <w:b w:val="0"/>
        </w:rPr>
        <w:t xml:space="preserve">Based on the above analysis and consideration we conclude that: </w:t>
      </w:r>
    </w:p>
    <w:p w14:paraId="594A86B6" w14:textId="3DA50E50" w:rsidR="000A6CAC" w:rsidRDefault="000A6CAC" w:rsidP="000A6CA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gNB-CU shall not be required to always read the RRC container (CellGroupConfig) signalled by the gNB-DU.</w:t>
      </w:r>
    </w:p>
    <w:p w14:paraId="0022EF74" w14:textId="1A166AB9" w:rsidR="000A6CAC" w:rsidRPr="000A6CAC" w:rsidRDefault="000A6CAC" w:rsidP="000A6CAC">
      <w:pPr>
        <w:pStyle w:val="TOC1"/>
        <w:spacing w:after="120"/>
        <w:ind w:left="0" w:firstLine="0"/>
        <w:jc w:val="both"/>
        <w:rPr>
          <w:b w:val="0"/>
          <w:noProof w:val="0"/>
        </w:rPr>
      </w:pPr>
      <w:r>
        <w:rPr>
          <w:b w:val="0"/>
          <w:noProof w:val="0"/>
        </w:rPr>
        <w:t xml:space="preserve">The proposal above implies that all the information that is required for the gNB-CU and the gNB-DU to interoperate over the F1 interface should be </w:t>
      </w:r>
      <w:r w:rsidR="00BD20C7">
        <w:rPr>
          <w:b w:val="0"/>
          <w:noProof w:val="0"/>
        </w:rPr>
        <w:t>signalled</w:t>
      </w:r>
      <w:r>
        <w:rPr>
          <w:b w:val="0"/>
          <w:noProof w:val="0"/>
        </w:rPr>
        <w:t xml:space="preserve"> </w:t>
      </w:r>
      <w:r w:rsidR="00BD20C7">
        <w:rPr>
          <w:b w:val="0"/>
          <w:noProof w:val="0"/>
        </w:rPr>
        <w:t>explicitly</w:t>
      </w:r>
      <w:r>
        <w:rPr>
          <w:b w:val="0"/>
          <w:noProof w:val="0"/>
        </w:rPr>
        <w:t xml:space="preserve"> over the F1AP. </w:t>
      </w:r>
      <w:r w:rsidR="00BD20C7">
        <w:rPr>
          <w:b w:val="0"/>
          <w:noProof w:val="0"/>
        </w:rPr>
        <w:t xml:space="preserve">This includes for example the C-RNTI that shall be included in the UE Context Setup Response (for EN-DC, MR-DC, NN-DC, and handover) and in the </w:t>
      </w:r>
      <w:bookmarkStart w:id="1" w:name="_Hlk510385776"/>
      <w:r w:rsidR="00BD20C7">
        <w:rPr>
          <w:b w:val="0"/>
          <w:noProof w:val="0"/>
        </w:rPr>
        <w:t>Initial UL RRC Message Tr</w:t>
      </w:r>
      <w:bookmarkEnd w:id="1"/>
      <w:r w:rsidR="00BD20C7">
        <w:rPr>
          <w:b w:val="0"/>
          <w:noProof w:val="0"/>
        </w:rPr>
        <w:t>ansfer (for state transition).</w:t>
      </w:r>
    </w:p>
    <w:p w14:paraId="68891B1F" w14:textId="18F9FF1C" w:rsidR="00BD20C7" w:rsidRDefault="00BD20C7" w:rsidP="00BD20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Pr="00BD20C7">
        <w:rPr>
          <w:noProof w:val="0"/>
          <w:lang w:val="en-GB"/>
        </w:rPr>
        <w:t xml:space="preserve"> information that is required for the gNB-CU and the gNB-DU to interoperate over the F1 interface should be signalled explicitly over the F1AP.</w:t>
      </w:r>
    </w:p>
    <w:p w14:paraId="7FC9A03C" w14:textId="06DDFB7D" w:rsidR="00BD20C7" w:rsidRDefault="00BD20C7" w:rsidP="00BD20C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C-RNTI should be included in the </w:t>
      </w:r>
      <w:r w:rsidRPr="00BD20C7">
        <w:rPr>
          <w:noProof w:val="0"/>
          <w:lang w:val="en-GB"/>
        </w:rPr>
        <w:t>UE Context Setup Response</w:t>
      </w:r>
      <w:r>
        <w:rPr>
          <w:noProof w:val="0"/>
          <w:lang w:val="en-GB"/>
        </w:rPr>
        <w:t xml:space="preserve"> and in the </w:t>
      </w:r>
      <w:r w:rsidRPr="00BD20C7">
        <w:rPr>
          <w:noProof w:val="0"/>
          <w:lang w:val="en-GB"/>
        </w:rPr>
        <w:t>Initial UL RRC Message Tr</w:t>
      </w:r>
      <w:r>
        <w:rPr>
          <w:noProof w:val="0"/>
          <w:lang w:val="en-GB"/>
        </w:rPr>
        <w:t xml:space="preserve">ansfer.   </w:t>
      </w:r>
    </w:p>
    <w:p w14:paraId="5CCC4764" w14:textId="3858DA80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397203FB" w:rsidR="000B1A38" w:rsidRDefault="000B1A38" w:rsidP="000B1A38">
      <w:bookmarkStart w:id="2" w:name="_In-sequence_SDU_delivery"/>
      <w:bookmarkEnd w:id="2"/>
      <w:r>
        <w:t xml:space="preserve">In this contribution, we discussed the </w:t>
      </w:r>
      <w:r w:rsidR="00BD20C7">
        <w:t>on whether the gNB-CU should always read the container generated by the gNB-DU.</w:t>
      </w:r>
      <w:r w:rsidR="00BE3A64">
        <w:t xml:space="preserve"> </w:t>
      </w:r>
    </w:p>
    <w:p w14:paraId="0D6D2C6C" w14:textId="77777777" w:rsidR="00BD20C7" w:rsidRDefault="00BD20C7" w:rsidP="00BD20C7">
      <w:pPr>
        <w:pStyle w:val="TOC1"/>
        <w:spacing w:after="120"/>
        <w:jc w:val="both"/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By reading the content of the CellGroupConfig container, the gNB-CU can optimize the UE configuration. </w:t>
      </w:r>
    </w:p>
    <w:p w14:paraId="19B4A24B" w14:textId="77777777" w:rsidR="00BD20C7" w:rsidRDefault="00BD20C7" w:rsidP="00BD20C7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 gNB-CU implementation that does not read the content of the CellGroupConfig container may be simpler and faster in generating the UE configuration. </w:t>
      </w:r>
    </w:p>
    <w:p w14:paraId="111C495D" w14:textId="77777777" w:rsidR="00BD20C7" w:rsidRDefault="00BD20C7" w:rsidP="00BD20C7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RAN2 agreed to wrap </w:t>
      </w:r>
      <w:r>
        <w:t xml:space="preserve">CellGroupConfig in </w:t>
      </w:r>
      <w:r w:rsidRPr="00706F12">
        <w:t xml:space="preserve">an octet string within </w:t>
      </w:r>
      <w:r>
        <w:t xml:space="preserve">the </w:t>
      </w:r>
      <w:r w:rsidRPr="00706F12">
        <w:t xml:space="preserve">RRC </w:t>
      </w:r>
      <w:r>
        <w:t>R</w:t>
      </w:r>
      <w:r w:rsidRPr="00706F12">
        <w:t>econfiguration</w:t>
      </w:r>
      <w:r>
        <w:t xml:space="preserve"> message. This implies that the gNB-CU can include the CellGroupConfig container received over F1AP into the NR RRC-Reconfiguration message, without the need for decoding/re-encoding.  </w:t>
      </w:r>
    </w:p>
    <w:p w14:paraId="0537365A" w14:textId="2BAFC466" w:rsidR="00BD20C7" w:rsidRDefault="00BD20C7" w:rsidP="00BD20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B660F" w:rsidRPr="000A6CAC">
        <w:rPr>
          <w:noProof w:val="0"/>
          <w:lang w:val="en-GB"/>
        </w:rPr>
        <w:t xml:space="preserve">Therefore, RAN2 already prepared the RRC signalling to consider the case that the gNB-CU does not </w:t>
      </w:r>
      <w:r w:rsidR="00BB660F">
        <w:rPr>
          <w:noProof w:val="0"/>
          <w:lang w:val="en-GB"/>
        </w:rPr>
        <w:t>r</w:t>
      </w:r>
      <w:r w:rsidR="00BB660F" w:rsidRPr="000A6CAC">
        <w:rPr>
          <w:noProof w:val="0"/>
          <w:lang w:val="en-GB"/>
        </w:rPr>
        <w:t>ead the CellGroupConfig container</w:t>
      </w:r>
      <w:r w:rsidR="00BB660F">
        <w:rPr>
          <w:noProof w:val="0"/>
          <w:lang w:val="en-GB"/>
        </w:rPr>
        <w:t xml:space="preserve"> from the gNB-DU</w:t>
      </w:r>
      <w:r w:rsidR="00BB660F" w:rsidRPr="000A6CAC">
        <w:rPr>
          <w:noProof w:val="0"/>
          <w:lang w:val="en-GB"/>
        </w:rPr>
        <w:t>.</w:t>
      </w:r>
    </w:p>
    <w:p w14:paraId="6D487E19" w14:textId="77777777" w:rsidR="00BD20C7" w:rsidRDefault="00BD20C7" w:rsidP="00BD20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gNB-CU shall not be required to always read the RRC container (CellGroupConfig) signalled by the gNB-DU.</w:t>
      </w:r>
    </w:p>
    <w:p w14:paraId="1D955D40" w14:textId="77777777" w:rsidR="00BD20C7" w:rsidRDefault="00BD20C7" w:rsidP="00BD20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Pr="00BD20C7">
        <w:rPr>
          <w:noProof w:val="0"/>
          <w:lang w:val="en-GB"/>
        </w:rPr>
        <w:t xml:space="preserve"> information that is required for the gNB-CU and the gNB-DU to interoperate over the F1 interface should be signalled explicitly over the F1AP.</w:t>
      </w:r>
    </w:p>
    <w:p w14:paraId="062732E6" w14:textId="1D4E3D9E" w:rsidR="00BD20C7" w:rsidRDefault="00BD20C7" w:rsidP="00BD20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C-RNTI should be included in the </w:t>
      </w:r>
      <w:r w:rsidRPr="00BD20C7">
        <w:rPr>
          <w:noProof w:val="0"/>
          <w:lang w:val="en-GB"/>
        </w:rPr>
        <w:t>UE Context Setup Response</w:t>
      </w:r>
      <w:r>
        <w:rPr>
          <w:noProof w:val="0"/>
          <w:lang w:val="en-GB"/>
        </w:rPr>
        <w:t xml:space="preserve"> and in the </w:t>
      </w:r>
      <w:r w:rsidRPr="00BD20C7">
        <w:rPr>
          <w:noProof w:val="0"/>
          <w:lang w:val="en-GB"/>
        </w:rPr>
        <w:t>Initial UL RRC Message Tr</w:t>
      </w:r>
      <w:r>
        <w:rPr>
          <w:noProof w:val="0"/>
          <w:lang w:val="en-GB"/>
        </w:rPr>
        <w:t xml:space="preserve">ansfer.   </w:t>
      </w:r>
    </w:p>
    <w:p w14:paraId="54D7FA1D" w14:textId="2F87F530" w:rsidR="00BD20C7" w:rsidRDefault="00BD20C7" w:rsidP="00BD20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4: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CR in R3-18</w:t>
      </w:r>
      <w:r w:rsidR="00460375">
        <w:rPr>
          <w:noProof w:val="0"/>
          <w:lang w:val="en-GB"/>
        </w:rPr>
        <w:t>2260</w:t>
      </w:r>
      <w:bookmarkStart w:id="3" w:name="_GoBack"/>
      <w:bookmarkEnd w:id="3"/>
      <w:r>
        <w:rPr>
          <w:noProof w:val="0"/>
          <w:lang w:val="en-GB"/>
        </w:rPr>
        <w:t xml:space="preserve">.  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852F5F6" w14:textId="52039E60" w:rsidR="008D1D7E" w:rsidRDefault="000A58FA" w:rsidP="000A58FA">
      <w:pPr>
        <w:pStyle w:val="Reference"/>
      </w:pPr>
      <w:r w:rsidRPr="000A58FA">
        <w:t>R2-1804043</w:t>
      </w:r>
      <w:r>
        <w:t xml:space="preserve">, </w:t>
      </w:r>
      <w:r w:rsidRPr="000A58FA">
        <w:t>Notes from the session for email discussion [NR-AH1801#24]</w:t>
      </w:r>
      <w:r>
        <w:t xml:space="preserve"> </w:t>
      </w:r>
      <w:r w:rsidRPr="000A58FA">
        <w:t>[NR] 38.331 ASN.1 review part 6 - Inter-node message</w:t>
      </w:r>
      <w:r>
        <w:t>, Nokia.</w:t>
      </w:r>
    </w:p>
    <w:p w14:paraId="567FAB01" w14:textId="51398797" w:rsidR="000A58FA" w:rsidRDefault="000A58FA" w:rsidP="000A58FA">
      <w:pPr>
        <w:pStyle w:val="Reference"/>
      </w:pPr>
      <w:r w:rsidRPr="000A58FA">
        <w:t>R2-1803435</w:t>
      </w:r>
      <w:r>
        <w:t xml:space="preserve">, </w:t>
      </w:r>
      <w:r w:rsidRPr="000A58FA">
        <w:t>F1AP impacts on RRC</w:t>
      </w:r>
      <w:r>
        <w:t>, Nokia.</w:t>
      </w:r>
    </w:p>
    <w:sectPr w:rsidR="000A58F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85D89" w14:textId="77777777" w:rsidR="00964192" w:rsidRDefault="00964192">
      <w:r>
        <w:separator/>
      </w:r>
    </w:p>
  </w:endnote>
  <w:endnote w:type="continuationSeparator" w:id="0">
    <w:p w14:paraId="2BCD6AFA" w14:textId="77777777" w:rsidR="00964192" w:rsidRDefault="0096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B86999F" w:rsidR="000A6CAC" w:rsidRDefault="000A6C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037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037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F9D8C" w14:textId="77777777" w:rsidR="00964192" w:rsidRDefault="00964192">
      <w:r>
        <w:separator/>
      </w:r>
    </w:p>
  </w:footnote>
  <w:footnote w:type="continuationSeparator" w:id="0">
    <w:p w14:paraId="561C5EA4" w14:textId="77777777" w:rsidR="00964192" w:rsidRDefault="0096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A6CAC" w:rsidRDefault="000A6C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76F13"/>
    <w:multiLevelType w:val="hybridMultilevel"/>
    <w:tmpl w:val="BECAD9C0"/>
    <w:lvl w:ilvl="0" w:tplc="4E9AF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70C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B63E3"/>
    <w:multiLevelType w:val="hybridMultilevel"/>
    <w:tmpl w:val="7FECE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2329"/>
    <w:multiLevelType w:val="hybridMultilevel"/>
    <w:tmpl w:val="2D2C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350E3"/>
    <w:multiLevelType w:val="hybridMultilevel"/>
    <w:tmpl w:val="F9F2868A"/>
    <w:lvl w:ilvl="0" w:tplc="3D3CA3B6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C30AD"/>
    <w:multiLevelType w:val="hybridMultilevel"/>
    <w:tmpl w:val="2B667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8"/>
  </w:num>
  <w:num w:numId="8">
    <w:abstractNumId w:val="7"/>
  </w:num>
  <w:num w:numId="9">
    <w:abstractNumId w:val="16"/>
  </w:num>
  <w:num w:numId="10">
    <w:abstractNumId w:val="20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13"/>
  </w:num>
  <w:num w:numId="17">
    <w:abstractNumId w:val="22"/>
  </w:num>
  <w:num w:numId="18">
    <w:abstractNumId w:val="21"/>
  </w:num>
  <w:num w:numId="19">
    <w:abstractNumId w:val="4"/>
  </w:num>
  <w:num w:numId="20">
    <w:abstractNumId w:val="5"/>
  </w:num>
  <w:num w:numId="21">
    <w:abstractNumId w:val="3"/>
  </w:num>
  <w:num w:numId="22">
    <w:abstractNumId w:val="19"/>
  </w:num>
  <w:num w:numId="2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329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8FA"/>
    <w:rsid w:val="000A6CAC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57E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1B6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AE2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6B1"/>
    <w:rsid w:val="00413AAC"/>
    <w:rsid w:val="004154C5"/>
    <w:rsid w:val="004176EB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0375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4E8A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5B91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190D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0E5"/>
    <w:rsid w:val="00543234"/>
    <w:rsid w:val="0054462F"/>
    <w:rsid w:val="00544BAC"/>
    <w:rsid w:val="00546970"/>
    <w:rsid w:val="00554E19"/>
    <w:rsid w:val="005565C7"/>
    <w:rsid w:val="00560B2C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C75FC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A8A"/>
    <w:rsid w:val="00701983"/>
    <w:rsid w:val="0070346E"/>
    <w:rsid w:val="007036E6"/>
    <w:rsid w:val="00704EDB"/>
    <w:rsid w:val="0070537F"/>
    <w:rsid w:val="00706101"/>
    <w:rsid w:val="00706F12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0DBC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ECC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1D7F"/>
    <w:rsid w:val="00872782"/>
    <w:rsid w:val="00874312"/>
    <w:rsid w:val="0087437C"/>
    <w:rsid w:val="00875CD7"/>
    <w:rsid w:val="0087608E"/>
    <w:rsid w:val="00876B4D"/>
    <w:rsid w:val="00876D5E"/>
    <w:rsid w:val="00877097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75F"/>
    <w:rsid w:val="008C6AE8"/>
    <w:rsid w:val="008C741D"/>
    <w:rsid w:val="008C7573"/>
    <w:rsid w:val="008C7783"/>
    <w:rsid w:val="008D0DB1"/>
    <w:rsid w:val="008D1158"/>
    <w:rsid w:val="008D1D7E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192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181F"/>
    <w:rsid w:val="00A048A8"/>
    <w:rsid w:val="00A04F49"/>
    <w:rsid w:val="00A07372"/>
    <w:rsid w:val="00A13E54"/>
    <w:rsid w:val="00A15202"/>
    <w:rsid w:val="00A16463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1EB9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463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C7B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87FBD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60F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20C7"/>
    <w:rsid w:val="00BD3AE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53F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84ED4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0CF"/>
    <w:rsid w:val="00D2264C"/>
    <w:rsid w:val="00D239A7"/>
    <w:rsid w:val="00D23F47"/>
    <w:rsid w:val="00D24F1D"/>
    <w:rsid w:val="00D267ED"/>
    <w:rsid w:val="00D26C4E"/>
    <w:rsid w:val="00D3005B"/>
    <w:rsid w:val="00D31E35"/>
    <w:rsid w:val="00D325EA"/>
    <w:rsid w:val="00D34833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50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2CA"/>
    <w:rsid w:val="00E67C51"/>
    <w:rsid w:val="00E70C0D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81F"/>
    <w:rsid w:val="00E94F8A"/>
    <w:rsid w:val="00E96A90"/>
    <w:rsid w:val="00E96F47"/>
    <w:rsid w:val="00E97A81"/>
    <w:rsid w:val="00EA145C"/>
    <w:rsid w:val="00EA742F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3F0F"/>
    <w:rsid w:val="00ED616C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4072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BCF5BD-9442-4B40-A36F-D89EEF80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1216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212</cp:revision>
  <cp:lastPrinted>2008-01-31T06:09:00Z</cp:lastPrinted>
  <dcterms:created xsi:type="dcterms:W3CDTF">2017-10-30T10:39:00Z</dcterms:created>
  <dcterms:modified xsi:type="dcterms:W3CDTF">2018-04-06T23:41:00Z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